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B" w:rsidRDefault="00805AAB" w:rsidP="00805AAB">
      <w:pPr>
        <w:rPr>
          <w:sz w:val="18"/>
          <w:szCs w:val="18"/>
        </w:rPr>
      </w:pPr>
    </w:p>
    <w:p w:rsidR="00805AAB" w:rsidRDefault="00805AAB" w:rsidP="00805A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05AAB" w:rsidRDefault="00805AAB" w:rsidP="00805A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05AAB" w:rsidRDefault="00805AAB" w:rsidP="00805A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(исполнительно-распорядительного органа)</w:t>
      </w:r>
    </w:p>
    <w:p w:rsidR="00805AAB" w:rsidRDefault="00805AAB" w:rsidP="00805A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«Город Балабаново» </w:t>
      </w:r>
    </w:p>
    <w:p w:rsidR="00805AAB" w:rsidRDefault="00805AAB" w:rsidP="00805A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19 сентября 2019 г. №509 </w:t>
      </w:r>
    </w:p>
    <w:p w:rsidR="00805AAB" w:rsidRDefault="00805AAB" w:rsidP="00805AAB">
      <w:pPr>
        <w:adjustRightInd w:val="0"/>
        <w:jc w:val="center"/>
        <w:rPr>
          <w:b/>
          <w:bCs/>
          <w:color w:val="000000"/>
        </w:rPr>
      </w:pPr>
    </w:p>
    <w:p w:rsidR="00805AAB" w:rsidRPr="00CA2456" w:rsidRDefault="00805AAB" w:rsidP="00805AAB">
      <w:pPr>
        <w:adjustRightInd w:val="0"/>
        <w:jc w:val="center"/>
        <w:rPr>
          <w:b/>
          <w:bCs/>
          <w:color w:val="000000"/>
        </w:rPr>
      </w:pPr>
      <w:r w:rsidRPr="00CA2456">
        <w:rPr>
          <w:b/>
          <w:bCs/>
          <w:color w:val="000000"/>
        </w:rPr>
        <w:t xml:space="preserve">Основные направления бюджетной и налоговой политики </w:t>
      </w:r>
    </w:p>
    <w:p w:rsidR="00805AAB" w:rsidRPr="00CA2456" w:rsidRDefault="00805AAB" w:rsidP="00805AAB">
      <w:pPr>
        <w:adjustRightInd w:val="0"/>
        <w:jc w:val="center"/>
        <w:rPr>
          <w:color w:val="000000"/>
        </w:rPr>
      </w:pPr>
      <w:r w:rsidRPr="00CA2456">
        <w:rPr>
          <w:b/>
          <w:bCs/>
          <w:color w:val="000000"/>
        </w:rPr>
        <w:t xml:space="preserve">городского поселения «Город Балабаново» </w:t>
      </w:r>
    </w:p>
    <w:p w:rsidR="00805AAB" w:rsidRPr="00CA2456" w:rsidRDefault="00805AAB" w:rsidP="00805AAB">
      <w:pPr>
        <w:adjustRightInd w:val="0"/>
        <w:jc w:val="center"/>
        <w:rPr>
          <w:b/>
          <w:bCs/>
          <w:color w:val="000000"/>
        </w:rPr>
      </w:pPr>
      <w:r w:rsidRPr="00CA2456">
        <w:rPr>
          <w:b/>
          <w:bCs/>
          <w:color w:val="000000"/>
        </w:rPr>
        <w:t>на 20</w:t>
      </w:r>
      <w:r>
        <w:rPr>
          <w:b/>
          <w:bCs/>
          <w:color w:val="000000"/>
        </w:rPr>
        <w:t>20</w:t>
      </w:r>
      <w:r w:rsidRPr="00CA2456">
        <w:rPr>
          <w:b/>
          <w:bCs/>
          <w:color w:val="000000"/>
        </w:rPr>
        <w:t xml:space="preserve"> год и на плановый период 20</w:t>
      </w:r>
      <w:r>
        <w:rPr>
          <w:b/>
          <w:bCs/>
          <w:color w:val="000000"/>
        </w:rPr>
        <w:t>21 и 2022</w:t>
      </w:r>
      <w:r w:rsidRPr="00CA2456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одов</w:t>
      </w:r>
    </w:p>
    <w:p w:rsidR="00805AAB" w:rsidRPr="00CA2456" w:rsidRDefault="00805AAB" w:rsidP="00805AAB">
      <w:pPr>
        <w:adjustRightInd w:val="0"/>
        <w:jc w:val="center"/>
        <w:rPr>
          <w:color w:val="000000"/>
        </w:rPr>
      </w:pPr>
    </w:p>
    <w:p w:rsidR="00805AAB" w:rsidRPr="00014197" w:rsidRDefault="00805AAB" w:rsidP="00805AAB">
      <w:pPr>
        <w:widowControl w:val="0"/>
        <w:adjustRightInd w:val="0"/>
        <w:ind w:firstLine="540"/>
        <w:jc w:val="both"/>
        <w:rPr>
          <w:bCs/>
        </w:rPr>
      </w:pPr>
      <w:proofErr w:type="gramStart"/>
      <w:r w:rsidRPr="00014197">
        <w:rPr>
          <w:bCs/>
        </w:rPr>
        <w:t xml:space="preserve">Бюджетная и налоговая политика городского поселения «Город Балабаново» определяет основные </w:t>
      </w:r>
      <w:r>
        <w:rPr>
          <w:bCs/>
        </w:rPr>
        <w:t xml:space="preserve">задачи, учитываемые при составлении проекта бюджета поселения на 2020 год и на плановый период 2021 и 2022 годов, </w:t>
      </w:r>
      <w:r w:rsidRPr="00014197">
        <w:rPr>
          <w:bCs/>
        </w:rPr>
        <w:t xml:space="preserve">и направлена на </w:t>
      </w:r>
      <w:r>
        <w:rPr>
          <w:bCs/>
        </w:rPr>
        <w:t>решение национальных целей развития, обозначенных Президентом Российской Федерации в Послании Федеральному Собранию Российской Федерации от 20 февраля 2019 года, - достижение нового качества жизни и благосостояния граждан, создание современной инфраструктуры.</w:t>
      </w:r>
      <w:proofErr w:type="gramEnd"/>
    </w:p>
    <w:p w:rsidR="00805AAB" w:rsidRDefault="00805AAB" w:rsidP="00805A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5AAB" w:rsidRPr="00B0139B" w:rsidRDefault="00805AAB" w:rsidP="00805A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I. Основные задачи бюджетной и налоговой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«Город Балабаново» </w:t>
      </w:r>
      <w:r w:rsidRPr="00B0139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139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0139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0139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задачами бюджетной и налоговой политики городского поселения «Город Балабаново» на 2020 год и на плановый период 2021 и 2022 годов являются: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47446D">
        <w:rPr>
          <w:sz w:val="24"/>
          <w:szCs w:val="24"/>
        </w:rPr>
        <w:t>обеспечение долгосрочной сбалансированности и устойчивости бюджет</w:t>
      </w:r>
      <w:r>
        <w:rPr>
          <w:sz w:val="24"/>
          <w:szCs w:val="24"/>
        </w:rPr>
        <w:t>а городского поселения «Город Балабаново»</w:t>
      </w:r>
      <w:r w:rsidRPr="0047446D">
        <w:rPr>
          <w:sz w:val="24"/>
          <w:szCs w:val="24"/>
        </w:rPr>
        <w:t xml:space="preserve"> как базового принципа ответственной бюджетной политики;</w:t>
      </w:r>
    </w:p>
    <w:p w:rsidR="00805AAB" w:rsidRPr="0047446D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 укрепление доходной базы бюджета городского поселения «Город Балабаново» за счет наращивания стабильных доходных источников и мобилизации в бюджет имеющихся резервов;</w:t>
      </w:r>
    </w:p>
    <w:p w:rsidR="00805AAB" w:rsidRDefault="00805AAB" w:rsidP="00805AAB">
      <w:pPr>
        <w:widowControl w:val="0"/>
        <w:adjustRightInd w:val="0"/>
        <w:ind w:firstLine="540"/>
        <w:jc w:val="both"/>
        <w:rPr>
          <w:bCs/>
        </w:rPr>
      </w:pPr>
      <w:r w:rsidRPr="00014197">
        <w:rPr>
          <w:bCs/>
        </w:rPr>
        <w:t xml:space="preserve">- безусловное исполнение всех обязательств государства и </w:t>
      </w:r>
      <w:r>
        <w:rPr>
          <w:bCs/>
        </w:rPr>
        <w:t>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Pr="00014197">
        <w:rPr>
          <w:bCs/>
        </w:rPr>
        <w:t>;</w:t>
      </w:r>
    </w:p>
    <w:p w:rsidR="00805AAB" w:rsidRPr="00014197" w:rsidRDefault="00805AAB" w:rsidP="00805AAB">
      <w:pPr>
        <w:widowControl w:val="0"/>
        <w:adjustRightInd w:val="0"/>
        <w:ind w:firstLine="540"/>
        <w:jc w:val="both"/>
        <w:rPr>
          <w:bCs/>
        </w:rPr>
      </w:pPr>
      <w:r>
        <w:rPr>
          <w:bCs/>
        </w:rPr>
        <w:t>- обеспечение прозрачного механизма оценки эффективности предоставленных налоговых льгот, установленных соответствующими решениями Городской Думы городского поселения «Город Балабаново»;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-прямое вовлечение населения в решение приоритетных социальных проблем местного уровня;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-повышение открытости и прозрачности управления общественными финансами.</w:t>
      </w:r>
    </w:p>
    <w:p w:rsidR="00805AAB" w:rsidRDefault="00805AAB" w:rsidP="00805AAB">
      <w:pPr>
        <w:pStyle w:val="21"/>
        <w:spacing w:after="120"/>
        <w:ind w:firstLine="708"/>
        <w:rPr>
          <w:sz w:val="24"/>
          <w:szCs w:val="24"/>
        </w:rPr>
      </w:pPr>
    </w:p>
    <w:p w:rsidR="00805AAB" w:rsidRPr="00B0139B" w:rsidRDefault="00805AAB" w:rsidP="00805AAB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0139B">
        <w:rPr>
          <w:rFonts w:ascii="Times New Roman" w:hAnsi="Times New Roman"/>
          <w:sz w:val="24"/>
          <w:szCs w:val="24"/>
          <w:lang w:val="en-US"/>
        </w:rPr>
        <w:t>II</w:t>
      </w:r>
      <w:r w:rsidRPr="00B0139B">
        <w:rPr>
          <w:rFonts w:ascii="Times New Roman" w:hAnsi="Times New Roman"/>
          <w:sz w:val="24"/>
          <w:szCs w:val="24"/>
        </w:rPr>
        <w:t xml:space="preserve">. Основные направления бюджетной и налоговой политики </w:t>
      </w:r>
      <w:r>
        <w:rPr>
          <w:rFonts w:ascii="Times New Roman" w:hAnsi="Times New Roman"/>
          <w:sz w:val="24"/>
          <w:szCs w:val="24"/>
        </w:rPr>
        <w:t>городского поселения «Город Балабаново»</w:t>
      </w:r>
      <w:r w:rsidRPr="00B0139B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B0139B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21 и 2022</w:t>
      </w:r>
      <w:r w:rsidRPr="00B0139B">
        <w:rPr>
          <w:rFonts w:ascii="Times New Roman" w:hAnsi="Times New Roman"/>
          <w:sz w:val="24"/>
          <w:szCs w:val="24"/>
        </w:rPr>
        <w:t xml:space="preserve"> годов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направлениями бюджетной и налоговой политики городского поселения «Город Балабаново» на 2020 год и на плановый период 2021 и 2022 годов являются: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 повышение реалистичности и минимизация рисков несбалансированности бюджета;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обеспечение роста поступлений неналоговых доходов бюджета, в том числе за счет </w:t>
      </w:r>
      <w:proofErr w:type="gramStart"/>
      <w:r>
        <w:rPr>
          <w:sz w:val="24"/>
          <w:szCs w:val="24"/>
        </w:rPr>
        <w:t>улучшения качества администрирования неналоговых доходов бюджета</w:t>
      </w:r>
      <w:proofErr w:type="gramEnd"/>
      <w:r>
        <w:rPr>
          <w:sz w:val="24"/>
          <w:szCs w:val="24"/>
        </w:rPr>
        <w:t>;</w:t>
      </w:r>
    </w:p>
    <w:p w:rsidR="00805AAB" w:rsidRDefault="00805AAB" w:rsidP="00805AAB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- активизация работы по повышению поступлений от всех мер принудительного взыскания задолженности, обеспечению роста эффективности взыскания;</w:t>
      </w:r>
    </w:p>
    <w:p w:rsidR="00805AAB" w:rsidRPr="008F2624" w:rsidRDefault="00805AAB" w:rsidP="00805AAB">
      <w:pPr>
        <w:ind w:firstLine="709"/>
        <w:jc w:val="both"/>
      </w:pPr>
      <w:r w:rsidRPr="008F2624">
        <w:t xml:space="preserve">- повышение эффективности реализации мер, направленных на расширение налоговой базы по имущественным налогам путем выявления и включения в </w:t>
      </w:r>
      <w:r w:rsidRPr="008F2624">
        <w:lastRenderedPageBreak/>
        <w:t>налогооблагаемую базу недвижимого имущества и земельных участков, которые до настоящего времени не зарегистрированы;</w:t>
      </w:r>
    </w:p>
    <w:p w:rsidR="00805AAB" w:rsidRPr="008F2624" w:rsidRDefault="00805AAB" w:rsidP="00805AAB">
      <w:pPr>
        <w:ind w:firstLine="709"/>
        <w:jc w:val="both"/>
      </w:pPr>
      <w:r w:rsidRPr="008F2624">
        <w:rPr>
          <w:rFonts w:eastAsiaTheme="minorHAnsi"/>
          <w:lang w:eastAsia="en-US"/>
        </w:rPr>
        <w:t>-   проведение долговой политики с учетом сохранения оптимального уровня долговой нагрузки на бюджет городского поселения;</w:t>
      </w:r>
    </w:p>
    <w:p w:rsidR="00805AAB" w:rsidRPr="008F2624" w:rsidRDefault="00805AAB" w:rsidP="00805AAB">
      <w:pPr>
        <w:ind w:firstLine="709"/>
        <w:jc w:val="both"/>
      </w:pPr>
      <w:r w:rsidRPr="008F2624">
        <w:t>-  финансовое обеспечение реализации приоритетных для поселения задач, достижение показателей результативности, установленных муниципальными программами;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культуры в соотношении с показателем среднемесячного дохода от трудовой деятельности;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 ежегодная индексация на прогнозируемый уровень инфляции, определенный на федеральном уровне, оплаты труда отдельных категорий работников  учреждений,</w:t>
      </w:r>
      <w:r>
        <w:rPr>
          <w:b w:val="0"/>
          <w:sz w:val="24"/>
          <w:szCs w:val="24"/>
        </w:rPr>
        <w:t xml:space="preserve"> финансируемых из бюджета городского поселения «Город Балабаново»,</w:t>
      </w:r>
      <w:r w:rsidRPr="008F2624">
        <w:rPr>
          <w:b w:val="0"/>
          <w:sz w:val="24"/>
          <w:szCs w:val="24"/>
        </w:rPr>
        <w:t xml:space="preserve"> на которых не распространяется действие указов Президента Российской Федерации;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 реализация мероприятий по формированию современной городской среды;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реализация мероприятий, направленных на подготовку и проведение празднования 75-й годовщины Победы в Великой Отечественной войне 1941-1945 годов;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r w:rsidRPr="008F2624">
        <w:rPr>
          <w:b w:val="0"/>
          <w:sz w:val="24"/>
          <w:szCs w:val="24"/>
        </w:rPr>
        <w:t>-  поддержка проектов развития  общественной инфраструктуры муниципального образования, основанных на местных инициативах;</w:t>
      </w:r>
    </w:p>
    <w:p w:rsidR="00805AAB" w:rsidRPr="008F2624" w:rsidRDefault="00805AAB" w:rsidP="00805AAB">
      <w:pPr>
        <w:pStyle w:val="a3"/>
        <w:ind w:right="0" w:firstLine="709"/>
        <w:rPr>
          <w:b w:val="0"/>
          <w:sz w:val="24"/>
          <w:szCs w:val="24"/>
        </w:rPr>
      </w:pPr>
      <w:proofErr w:type="gramStart"/>
      <w:r w:rsidRPr="008F2624">
        <w:rPr>
          <w:b w:val="0"/>
          <w:sz w:val="24"/>
          <w:szCs w:val="24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  муниципального образования «Город Балабаново», в том числе в рамках размещения финансовой и иной информации о бюджете и бюджетном процессе на сайте муниципального образования «Город Балабаново».</w:t>
      </w:r>
      <w:proofErr w:type="gramEnd"/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805AAB" w:rsidRDefault="00805AAB" w:rsidP="00805AAB">
      <w:pPr>
        <w:pStyle w:val="a3"/>
        <w:ind w:right="0" w:firstLine="709"/>
        <w:rPr>
          <w:b w:val="0"/>
          <w:sz w:val="24"/>
          <w:szCs w:val="24"/>
        </w:rPr>
      </w:pPr>
    </w:p>
    <w:p w:rsidR="00B0139B" w:rsidRPr="00805AAB" w:rsidRDefault="00B0139B" w:rsidP="00805AAB">
      <w:bookmarkStart w:id="0" w:name="_GoBack"/>
      <w:bookmarkEnd w:id="0"/>
    </w:p>
    <w:sectPr w:rsidR="00B0139B" w:rsidRPr="00805AAB" w:rsidSect="00921B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A49"/>
    <w:multiLevelType w:val="singleLevel"/>
    <w:tmpl w:val="73FA99DE"/>
    <w:lvl w:ilvl="0">
      <w:start w:val="1"/>
      <w:numFmt w:val="decimal"/>
      <w:pStyle w:val="1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C7"/>
    <w:rsid w:val="00014197"/>
    <w:rsid w:val="0003560E"/>
    <w:rsid w:val="00074BDF"/>
    <w:rsid w:val="00077ED8"/>
    <w:rsid w:val="000873CD"/>
    <w:rsid w:val="0015253E"/>
    <w:rsid w:val="001765C8"/>
    <w:rsid w:val="001A32BE"/>
    <w:rsid w:val="001C7E9F"/>
    <w:rsid w:val="00206C29"/>
    <w:rsid w:val="002B11CF"/>
    <w:rsid w:val="002E4CD4"/>
    <w:rsid w:val="003019F0"/>
    <w:rsid w:val="00377EE3"/>
    <w:rsid w:val="0047446D"/>
    <w:rsid w:val="004F39CD"/>
    <w:rsid w:val="005D6362"/>
    <w:rsid w:val="0060566C"/>
    <w:rsid w:val="00627CF3"/>
    <w:rsid w:val="0064246E"/>
    <w:rsid w:val="006E51B1"/>
    <w:rsid w:val="00732F32"/>
    <w:rsid w:val="00784311"/>
    <w:rsid w:val="007C0F78"/>
    <w:rsid w:val="007F2D85"/>
    <w:rsid w:val="00805AAB"/>
    <w:rsid w:val="008537D1"/>
    <w:rsid w:val="00883B20"/>
    <w:rsid w:val="008C68E0"/>
    <w:rsid w:val="008D57C7"/>
    <w:rsid w:val="00901502"/>
    <w:rsid w:val="00921B0D"/>
    <w:rsid w:val="009232DA"/>
    <w:rsid w:val="00A1691A"/>
    <w:rsid w:val="00A77974"/>
    <w:rsid w:val="00AD29AD"/>
    <w:rsid w:val="00B0139B"/>
    <w:rsid w:val="00B537D6"/>
    <w:rsid w:val="00BE1785"/>
    <w:rsid w:val="00BF054E"/>
    <w:rsid w:val="00C00778"/>
    <w:rsid w:val="00C2436E"/>
    <w:rsid w:val="00C8487A"/>
    <w:rsid w:val="00D468BD"/>
    <w:rsid w:val="00D607BA"/>
    <w:rsid w:val="00DE09FB"/>
    <w:rsid w:val="00E05120"/>
    <w:rsid w:val="00E77601"/>
    <w:rsid w:val="00EA4FF7"/>
    <w:rsid w:val="00F36FF0"/>
    <w:rsid w:val="00F57697"/>
    <w:rsid w:val="00F638E4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39B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7446D"/>
    <w:pPr>
      <w:suppressAutoHyphens/>
      <w:autoSpaceDE/>
      <w:autoSpaceDN/>
      <w:jc w:val="both"/>
    </w:pPr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0139B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3">
    <w:name w:val="Body Text"/>
    <w:basedOn w:val="a"/>
    <w:link w:val="a4"/>
    <w:rsid w:val="00B0139B"/>
    <w:pPr>
      <w:autoSpaceDE/>
      <w:autoSpaceDN/>
      <w:ind w:right="4109"/>
      <w:jc w:val="both"/>
    </w:pPr>
    <w:rPr>
      <w:rFonts w:eastAsia="Zhikaryov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B0139B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BE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39B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7446D"/>
    <w:pPr>
      <w:suppressAutoHyphens/>
      <w:autoSpaceDE/>
      <w:autoSpaceDN/>
      <w:jc w:val="both"/>
    </w:pPr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0139B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3">
    <w:name w:val="Body Text"/>
    <w:basedOn w:val="a"/>
    <w:link w:val="a4"/>
    <w:rsid w:val="00B0139B"/>
    <w:pPr>
      <w:autoSpaceDE/>
      <w:autoSpaceDN/>
      <w:ind w:right="4109"/>
      <w:jc w:val="both"/>
    </w:pPr>
    <w:rPr>
      <w:rFonts w:eastAsia="Zhikaryov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B0139B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BE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2018-10-09T13:06:00Z</cp:lastPrinted>
  <dcterms:created xsi:type="dcterms:W3CDTF">2013-10-06T06:50:00Z</dcterms:created>
  <dcterms:modified xsi:type="dcterms:W3CDTF">2019-11-13T11:27:00Z</dcterms:modified>
</cp:coreProperties>
</file>